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ascii="方正小标宋简体" w:eastAsia="方正小标宋简体" w:cs="方正小标宋简体" w:hint="eastAsia"/>
          <w:b w:val="0"/>
          <w:bCs w:val="0"/>
          <w:snapToGrid/>
          <w:kern w:val="2"/>
          <w:sz w:val="40"/>
          <w:szCs w:val="40"/>
          <w:lang w:val="en-US" w:eastAsia="zh-CN" w:bidi="ar-SA"/>
        </w:rPr>
      </w:pPr>
      <w:r>
        <w:rPr>
          <w:rFonts w:ascii="方正小标宋简体" w:eastAsia="方正小标宋简体" w:cs="方正小标宋简体" w:hint="eastAsia"/>
          <w:b w:val="0"/>
          <w:bCs w:val="0"/>
          <w:snapToGrid/>
          <w:kern w:val="2"/>
          <w:sz w:val="40"/>
          <w:szCs w:val="40"/>
          <w:lang w:val="en-US" w:eastAsia="zh-CN" w:bidi="ar-SA"/>
        </w:rPr>
        <w:t>中共湘潭市雨湖区姜畲镇委员会</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ascii="方正小标宋简体" w:eastAsia="方正小标宋简体" w:cs="方正小标宋简体" w:hint="eastAsia"/>
          <w:b w:val="0"/>
          <w:bCs w:val="0"/>
          <w:snapToGrid/>
          <w:kern w:val="2"/>
          <w:sz w:val="40"/>
          <w:szCs w:val="40"/>
          <w:lang w:val="en-US" w:eastAsia="zh-CN" w:bidi="ar-SA"/>
        </w:rPr>
      </w:pPr>
      <w:r>
        <w:rPr>
          <w:rFonts w:ascii="方正小标宋简体" w:eastAsia="方正小标宋简体" w:cs="方正小标宋简体" w:hint="eastAsia"/>
          <w:b w:val="0"/>
          <w:bCs w:val="0"/>
          <w:snapToGrid/>
          <w:kern w:val="2"/>
          <w:sz w:val="40"/>
          <w:szCs w:val="40"/>
          <w:lang w:val="en-US" w:eastAsia="zh-CN" w:bidi="ar-SA"/>
        </w:rPr>
        <w:t>关于巡察整改进展情况的通报</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_GB2312" w:eastAsia="仿宋_GB2312" w:cs="仿宋_GB2312" w:hint="eastAsia"/>
          <w:b w:val="0"/>
          <w:bCs w:val="0"/>
          <w:snapToGrid/>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540" w:lineRule="exact"/>
        <w:ind w:firstLineChars="200" w:firstLine="640"/>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根据湘潭市委统一安排部署，2024年6月6日至7月19日，市委第三巡察组对姜畲镇开展了政治巡察。2024年9月23日，市委第三巡察组向姜畲镇反馈了巡察意见。根据党务公开原则和巡察工作有关要求，现将巡察整改进展情况予以公布。</w:t>
      </w:r>
    </w:p>
    <w:p>
      <w:pPr>
        <w:keepNext w:val="0"/>
        <w:keepLines w:val="0"/>
        <w:pageBreakBefore w:val="0"/>
        <w:widowControl w:val="0"/>
        <w:kinsoku/>
        <w:overflowPunct/>
        <w:topLinePunct w:val="0"/>
        <w:autoSpaceDE/>
        <w:autoSpaceDN/>
        <w:bidi w:val="0"/>
        <w:adjustRightInd/>
        <w:snapToGrid/>
        <w:spacing w:line="540" w:lineRule="exact"/>
        <w:ind w:firstLineChars="200" w:firstLine="640"/>
        <w:textAlignment w:val="auto"/>
        <w:rPr>
          <w:rFonts w:ascii="CESI黑体-GB2312" w:eastAsia="CESI黑体-GB2312" w:cs="CESI黑体-GB2312" w:hint="eastAsia"/>
          <w:b w:val="0"/>
          <w:bCs w:val="0"/>
          <w:snapToGrid/>
          <w:kern w:val="2"/>
          <w:sz w:val="32"/>
          <w:szCs w:val="32"/>
          <w:lang w:val="en-US" w:eastAsia="zh-CN" w:bidi="ar-SA"/>
        </w:rPr>
      </w:pPr>
      <w:r>
        <w:rPr>
          <w:rFonts w:ascii="CESI黑体-GB2312" w:eastAsia="CESI黑体-GB2312" w:cs="CESI黑体-GB2312" w:hint="eastAsia"/>
          <w:b w:val="0"/>
          <w:bCs w:val="0"/>
          <w:snapToGrid/>
          <w:kern w:val="2"/>
          <w:sz w:val="32"/>
          <w:szCs w:val="32"/>
          <w:lang w:val="en-US" w:eastAsia="zh-CN" w:bidi="ar-SA"/>
        </w:rPr>
        <w:t>一、党委及主要负责人组织整改落实情况</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姜畲镇党委坚持把巡察整改工作作为一项重大政治任务来抓，镇党委为全面做好巡察反馈意见整改工作，按照整改要求迅速部署，成立巡察整改工作小组，工作小组下设办公室，对市委巡察反馈的问题逐条逐项进行梳理，研究制定镇级整改措施113条，村级整改措施254条，压实责任，横向到边、纵向到底。姜畲镇党委主要负责人坚决扛牢巡察整改第一责任人责任，以高度的政治责任感和使命感，带头领办重点难点问题，认真督促落实整改责任，</w:t>
      </w:r>
      <w:r>
        <w:rPr>
          <w:rFonts w:ascii="仿宋_GB2312" w:eastAsia="仿宋_GB2312" w:cs="仿宋_GB2312" w:hint="eastAsia"/>
          <w:sz w:val="32"/>
          <w:szCs w:val="32"/>
          <w:lang w:val="en-US" w:eastAsia="zh-CN"/>
        </w:rPr>
        <w:t>有力推进本轮巡察整改工作。</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CESI黑体-GB2312" w:eastAsia="CESI黑体-GB2312" w:cs="CESI黑体-GB2312" w:hint="eastAsia"/>
          <w:b w:val="0"/>
          <w:bCs w:val="0"/>
          <w:snapToGrid/>
          <w:kern w:val="2"/>
          <w:sz w:val="32"/>
          <w:szCs w:val="32"/>
          <w:lang w:val="en-US" w:eastAsia="zh-CN" w:bidi="ar-SA"/>
        </w:rPr>
      </w:pPr>
      <w:r>
        <w:rPr>
          <w:rFonts w:ascii="CESI黑体-GB2312" w:eastAsia="CESI黑体-GB2312" w:cs="CESI黑体-GB2312" w:hint="eastAsia"/>
          <w:b w:val="0"/>
          <w:bCs w:val="0"/>
          <w:snapToGrid/>
          <w:kern w:val="2"/>
          <w:sz w:val="32"/>
          <w:szCs w:val="32"/>
          <w:lang w:val="en-US" w:eastAsia="zh-CN" w:bidi="ar-SA"/>
        </w:rPr>
        <w:t>二、巡察反馈问题的整改情况</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bCs/>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（一）推动巡察反馈问题整改不彻底</w:t>
      </w:r>
      <w:r>
        <w:rPr>
          <w:rFonts w:ascii="楷体_GB2312" w:eastAsia="楷体_GB2312" w:cs="楷体_GB2312"/>
          <w:b/>
          <w:bCs/>
          <w:snapToGrid/>
          <w:kern w:val="2"/>
          <w:sz w:val="32"/>
          <w:szCs w:val="32"/>
          <w:lang w:val="en-US" w:eastAsia="zh-CN" w:bidi="ar-SA"/>
        </w:rPr>
        <w:t>方面</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1.</w:t>
      </w:r>
      <w:r>
        <w:rPr>
          <w:rFonts w:ascii="仿宋_GB2312" w:eastAsia="仿宋_GB2312" w:cs="仿宋_GB2312" w:hint="eastAsia"/>
          <w:b/>
          <w:bCs/>
          <w:snapToGrid/>
          <w:kern w:val="2"/>
          <w:sz w:val="32"/>
          <w:szCs w:val="32"/>
          <w:lang w:val="en-US" w:eastAsia="zh-CN" w:bidi="ar-SA"/>
          <w:highlight w:val="auto"/>
        </w:rPr>
        <w:t>违规发放补助，超标准超范围发放各类津补贴，村级财务监管不到位，非党员从事党建工作</w:t>
      </w:r>
      <w:r>
        <w:rPr>
          <w:rFonts w:ascii="仿宋_GB2312" w:eastAsia="仿宋_GB2312" w:cs="仿宋_GB2312"/>
          <w:b/>
          <w:bCs/>
          <w:snapToGrid/>
          <w:kern w:val="2"/>
          <w:sz w:val="32"/>
          <w:szCs w:val="32"/>
          <w:lang w:val="en-US" w:eastAsia="zh-CN" w:bidi="ar-SA"/>
          <w:highlight w:val="auto"/>
        </w:rPr>
        <w:t>。</w:t>
      </w:r>
    </w:p>
    <w:p>
      <w:pPr>
        <w:keepNext w:val="0"/>
        <w:keepLines w:val="0"/>
        <w:pageBreakBefore w:val="0"/>
        <w:widowControl w:val="0"/>
        <w:tabs>
          <w:tab w:val="left" w:pos="1365"/>
        </w:tabs>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整改情况：违规发放各类津补贴已全部清退。对相关责任人进行追责处理。</w:t>
      </w:r>
      <w:r>
        <w:rPr>
          <w:rFonts w:ascii="仿宋_GB2312" w:eastAsia="仿宋_GB2312" w:cs="仿宋_GB2312" w:hint="eastAsia"/>
          <w:b w:val="0"/>
          <w:bCs w:val="0"/>
          <w:snapToGrid/>
          <w:kern w:val="2"/>
          <w:sz w:val="32"/>
          <w:szCs w:val="32"/>
          <w:lang w:val="en-US" w:eastAsia="zh-CN" w:bidi="ar-SA"/>
          <w:highlight w:val="auto"/>
        </w:rPr>
        <w:t>组织财务人员积极参与业务培训，修订并完善财务管理制度，严格监管村级资金使用。根据要求</w:t>
      </w:r>
      <w:r>
        <w:rPr>
          <w:rFonts w:ascii="仿宋_GB2312" w:eastAsia="仿宋_GB2312" w:cs="仿宋_GB2312" w:hint="eastAsia"/>
          <w:sz w:val="32"/>
          <w:szCs w:val="32"/>
          <w:lang w:val="en-US" w:eastAsia="zh-CN"/>
        </w:rPr>
        <w:t>及时调整党建工作人员。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2.</w:t>
      </w:r>
      <w:r>
        <w:rPr>
          <w:rFonts w:ascii="仿宋_GB2312" w:eastAsia="仿宋_GB2312" w:cs="仿宋_GB2312" w:hint="eastAsia"/>
          <w:b/>
          <w:bCs/>
          <w:snapToGrid/>
          <w:kern w:val="2"/>
          <w:sz w:val="32"/>
          <w:szCs w:val="32"/>
          <w:lang w:val="en-US" w:eastAsia="zh-CN" w:bidi="ar-SA"/>
        </w:rPr>
        <w:t>对村巡察整改统筹指导不到位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w:t>
      </w:r>
      <w:r>
        <w:rPr>
          <w:rFonts w:ascii="仿宋_GB2312" w:eastAsia="仿宋_GB2312" w:cs="仿宋_GB2312" w:hint="eastAsia"/>
          <w:b w:val="0"/>
          <w:bCs w:val="0"/>
          <w:snapToGrid/>
          <w:kern w:val="2"/>
          <w:sz w:val="32"/>
          <w:szCs w:val="32"/>
          <w:lang w:val="en-US" w:eastAsia="zh-CN" w:bidi="ar-SA"/>
          <w:highlight w:val="auto"/>
        </w:rPr>
        <w:t>镇领导、干部加强对相关村的指导工作。充分发挥联络作用，积极下村督导，切实了解并解决群众“急难愁盼”问题；指导各村（社区）认真学习贯彻“四议两公开”制度，加强基层工作规范化管理。</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 w:eastAsia="楷体" w:cs="楷体" w:hint="eastAsia"/>
          <w:b/>
          <w:bCs/>
          <w:snapToGrid/>
          <w:kern w:val="2"/>
          <w:sz w:val="32"/>
          <w:szCs w:val="32"/>
          <w:lang w:val="en-US" w:eastAsia="zh-CN" w:bidi="ar-SA"/>
          <w:highlight w:val="auto"/>
        </w:rPr>
      </w:pPr>
      <w:r>
        <w:rPr>
          <w:rFonts w:ascii="楷体_GB2312" w:eastAsia="楷体_GB2312" w:cs="楷体_GB2312" w:hint="eastAsia"/>
          <w:b/>
          <w:bCs/>
          <w:snapToGrid/>
          <w:kern w:val="2"/>
          <w:sz w:val="32"/>
          <w:szCs w:val="32"/>
          <w:lang w:val="en-US" w:eastAsia="zh-CN" w:bidi="ar-SA"/>
          <w:highlight w:val="auto"/>
        </w:rPr>
        <w:t>（二）发挥党委领导核心作用不充分，推进乡村振兴、提升乡村治理水平有差距</w:t>
      </w:r>
      <w:r>
        <w:rPr>
          <w:rFonts w:ascii="楷体_GB2312" w:eastAsia="楷体_GB2312" w:cs="楷体_GB2312"/>
          <w:b/>
          <w:bCs/>
          <w:snapToGrid/>
          <w:kern w:val="2"/>
          <w:sz w:val="32"/>
          <w:szCs w:val="32"/>
          <w:lang w:val="en-US" w:eastAsia="zh-CN" w:bidi="ar-SA"/>
          <w:highlight w:val="auto"/>
        </w:rPr>
        <w:t>方面</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val="0"/>
          <w:bCs w:val="0"/>
          <w:snapToGrid/>
          <w:kern w:val="2"/>
          <w:sz w:val="32"/>
          <w:szCs w:val="32"/>
          <w:lang w:val="en-US" w:eastAsia="zh-CN" w:bidi="ar-SA"/>
          <w:highlight w:val="yellow"/>
        </w:rPr>
      </w:pPr>
      <w:r>
        <w:rPr>
          <w:rFonts w:ascii="仿宋_GB2312" w:eastAsia="仿宋_GB2312" w:cs="仿宋_GB2312"/>
          <w:b/>
          <w:bCs/>
          <w:snapToGrid/>
          <w:kern w:val="2"/>
          <w:sz w:val="32"/>
          <w:szCs w:val="32"/>
          <w:lang w:val="en-US" w:eastAsia="zh-CN" w:bidi="ar-SA"/>
        </w:rPr>
        <w:t>3.</w:t>
      </w:r>
      <w:r>
        <w:rPr>
          <w:rFonts w:ascii="仿宋_GB2312" w:eastAsia="仿宋_GB2312" w:cs="仿宋_GB2312" w:hint="eastAsia"/>
          <w:b/>
          <w:bCs/>
          <w:snapToGrid/>
          <w:kern w:val="2"/>
          <w:sz w:val="32"/>
          <w:szCs w:val="32"/>
          <w:lang w:val="en-US" w:eastAsia="zh-CN" w:bidi="ar-SA"/>
        </w:rPr>
        <w:t>产业发展质效有待提升</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仿宋_GB2312" w:eastAsia="仿宋_GB2312" w:cs="仿宋_GB2312"/>
          <w:b/>
          <w:bCs/>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整改情况：立足经济社会发展实际，加强企业走访调研和指导培育，依托</w:t>
      </w:r>
      <w:r>
        <w:rPr>
          <w:rFonts w:ascii="仿宋_GB2312" w:eastAsia="仿宋_GB2312" w:cs="仿宋_GB2312" w:hint="eastAsia"/>
          <w:b w:val="0"/>
          <w:bCs w:val="0"/>
          <w:sz w:val="32"/>
          <w:szCs w:val="32"/>
        </w:rPr>
        <w:t>姜畲现代农业示范园</w:t>
      </w:r>
      <w:r>
        <w:rPr>
          <w:rFonts w:ascii="仿宋_GB2312" w:eastAsia="仿宋_GB2312" w:cs="仿宋_GB2312" w:hint="eastAsia"/>
          <w:b w:val="0"/>
          <w:bCs w:val="0"/>
          <w:sz w:val="32"/>
          <w:szCs w:val="32"/>
          <w:lang w:eastAsia="zh-CN"/>
        </w:rPr>
        <w:t>及</w:t>
      </w:r>
      <w:r>
        <w:rPr>
          <w:rFonts w:ascii="仿宋_GB2312" w:eastAsia="仿宋_GB2312" w:hint="eastAsia"/>
          <w:b w:val="0"/>
          <w:bCs w:val="0"/>
          <w:sz w:val="32"/>
          <w:szCs w:val="32"/>
          <w:lang w:eastAsia="zh-CN"/>
        </w:rPr>
        <w:t>银发人才工作站</w:t>
      </w:r>
      <w:r>
        <w:rPr>
          <w:rFonts w:ascii="仿宋_GB2312" w:eastAsia="仿宋_GB2312" w:cs="仿宋_GB2312" w:hint="eastAsia"/>
          <w:b w:val="0"/>
          <w:bCs w:val="0"/>
          <w:sz w:val="32"/>
          <w:szCs w:val="32"/>
          <w:lang w:eastAsia="zh-CN"/>
        </w:rPr>
        <w:t>，大力发展镇域经济，</w:t>
      </w:r>
      <w:r>
        <w:rPr>
          <w:rFonts w:ascii="仿宋_GB2312" w:eastAsia="仿宋_GB2312" w:cs="仿宋_GB2312" w:hint="eastAsia"/>
          <w:b w:val="0"/>
          <w:bCs w:val="0"/>
          <w:snapToGrid/>
          <w:kern w:val="2"/>
          <w:sz w:val="32"/>
          <w:szCs w:val="32"/>
          <w:lang w:val="en-US" w:eastAsia="zh-CN" w:bidi="ar-SA"/>
        </w:rPr>
        <w:t>加大农业企业培育帮扶力度，</w:t>
      </w:r>
      <w:r>
        <w:rPr>
          <w:rFonts w:ascii="仿宋_GB2312" w:eastAsia="仿宋_GB2312" w:cs="仿宋_GB2312" w:hint="eastAsia"/>
          <w:color w:val="auto"/>
          <w:sz w:val="32"/>
          <w:szCs w:val="32"/>
          <w:lang w:val="en-US" w:eastAsia="zh-CN"/>
        </w:rPr>
        <w:t>指导农民发展新型种植、养殖等产业，促进现代农业发展和农民持续增收。</w:t>
      </w:r>
      <w:r>
        <w:rPr>
          <w:rFonts w:ascii="仿宋_GB2312" w:eastAsia="仿宋_GB2312" w:cs="仿宋_GB2312" w:hint="eastAsia"/>
          <w:b w:val="0"/>
          <w:bCs w:val="0"/>
          <w:sz w:val="32"/>
          <w:szCs w:val="32"/>
          <w:lang w:eastAsia="zh-CN"/>
        </w:rPr>
        <w:t>充分发挥</w:t>
      </w:r>
      <w:r>
        <w:rPr>
          <w:rFonts w:ascii="仿宋_GB2312" w:eastAsia="仿宋_GB2312" w:cs="仿宋_GB2312" w:hint="eastAsia"/>
          <w:b w:val="0"/>
          <w:bCs w:val="0"/>
          <w:sz w:val="32"/>
          <w:szCs w:val="32"/>
        </w:rPr>
        <w:t>示范园特色优势产业的辐射带动</w:t>
      </w:r>
      <w:r>
        <w:rPr>
          <w:rFonts w:ascii="仿宋_GB2312" w:eastAsia="仿宋_GB2312" w:cs="仿宋_GB2312" w:hint="eastAsia"/>
          <w:b w:val="0"/>
          <w:bCs w:val="0"/>
          <w:sz w:val="32"/>
          <w:szCs w:val="32"/>
          <w:lang w:eastAsia="zh-CN"/>
        </w:rPr>
        <w:t>作用，</w:t>
      </w:r>
      <w:r>
        <w:rPr>
          <w:rFonts w:ascii="仿宋_GB2312" w:eastAsia="仿宋_GB2312" w:cs="仿宋_GB2312" w:hint="eastAsia"/>
          <w:b w:val="0"/>
          <w:bCs w:val="0"/>
          <w:sz w:val="32"/>
          <w:szCs w:val="32"/>
        </w:rPr>
        <w:t>带动农户就业</w:t>
      </w:r>
      <w:r>
        <w:rPr>
          <w:rFonts w:ascii="仿宋_GB2312" w:eastAsia="仿宋_GB2312" w:cs="仿宋_GB2312" w:hint="eastAsia"/>
          <w:b w:val="0"/>
          <w:bCs w:val="0"/>
          <w:sz w:val="32"/>
          <w:szCs w:val="32"/>
          <w:lang w:val="en-US" w:eastAsia="zh-CN"/>
        </w:rPr>
        <w:t>创业。</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4.</w:t>
      </w:r>
      <w:r>
        <w:rPr>
          <w:rFonts w:ascii="仿宋_GB2312" w:eastAsia="仿宋_GB2312" w:cs="仿宋_GB2312" w:hint="eastAsia"/>
          <w:b/>
          <w:bCs/>
          <w:snapToGrid/>
          <w:kern w:val="2"/>
          <w:sz w:val="32"/>
          <w:szCs w:val="32"/>
          <w:lang w:val="en-US" w:eastAsia="zh-CN" w:bidi="ar-SA"/>
        </w:rPr>
        <w:t>对村级集体经济发展谋划指导不足</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bCs/>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整改情况：姜畲镇党委以</w:t>
      </w:r>
      <w:r>
        <w:rPr>
          <w:rFonts w:ascii="仿宋_GB2312" w:eastAsia="仿宋_GB2312" w:cs="仿宋_GB2312" w:hint="eastAsia"/>
          <w:b w:val="0"/>
          <w:bCs w:val="0"/>
          <w:sz w:val="32"/>
          <w:szCs w:val="32"/>
          <w:lang w:eastAsia="zh-CN"/>
        </w:rPr>
        <w:t>党建引领各村集体经济发展壮大，</w:t>
      </w:r>
      <w:r>
        <w:rPr>
          <w:rFonts w:ascii="仿宋_GB2312" w:eastAsia="仿宋_GB2312" w:cs="仿宋_GB2312" w:hint="eastAsia"/>
          <w:b w:val="0"/>
          <w:bCs w:val="0"/>
          <w:snapToGrid/>
          <w:kern w:val="2"/>
          <w:sz w:val="32"/>
          <w:szCs w:val="32"/>
          <w:lang w:val="en-US" w:eastAsia="zh-CN" w:bidi="ar-SA"/>
        </w:rPr>
        <w:t>指导各村制定集体经济发展计划，重点支持集体经济薄弱村项目建设，</w:t>
      </w:r>
      <w:r>
        <w:rPr>
          <w:rFonts w:ascii="仿宋_GB2312" w:eastAsia="仿宋_GB2312" w:cs="仿宋_GB2312" w:hint="eastAsia"/>
          <w:b w:val="0"/>
          <w:bCs w:val="0"/>
          <w:sz w:val="32"/>
          <w:szCs w:val="32"/>
          <w:lang w:eastAsia="zh-CN"/>
        </w:rPr>
        <w:t>推进乡村振兴高质量发展</w:t>
      </w:r>
      <w:r>
        <w:rPr>
          <w:rFonts w:ascii="仿宋_GB2312" w:eastAsia="仿宋_GB2312" w:cs="仿宋_GB2312" w:hint="eastAsia"/>
          <w:b w:val="0"/>
          <w:bCs w:val="0"/>
          <w:snapToGrid/>
          <w:kern w:val="2"/>
          <w:sz w:val="32"/>
          <w:szCs w:val="32"/>
          <w:lang w:val="en-US" w:eastAsia="zh-CN" w:bidi="ar-SA"/>
        </w:rPr>
        <w:t>。因地制宜，指导各村制定“一村一策”，促进村集体经济发展，2024年6个村完成村集体经济收入破“百万”大关。</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5.</w:t>
      </w:r>
      <w:r>
        <w:rPr>
          <w:rFonts w:ascii="仿宋_GB2312" w:eastAsia="仿宋_GB2312" w:cs="仿宋_GB2312" w:hint="eastAsia"/>
          <w:b/>
          <w:bCs/>
          <w:snapToGrid/>
          <w:kern w:val="2"/>
          <w:sz w:val="32"/>
          <w:szCs w:val="32"/>
          <w:lang w:val="en-US" w:eastAsia="zh-CN" w:bidi="ar-SA"/>
        </w:rPr>
        <w:t>粮食生产任务安排不合理</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镇党委、政府召开专题会议，组织农业专家、镇村干部调研耕地实际情况，摸排统计全镇种粮大户基本情况，印发《姜畲镇2025年粮食生产工作方案》；全力推进土地整村流转，发展规模经营，开展集中育供秧，积极培育新型经营主体，推进粮食适度规模经营和集约化生产，科学统筹2025年度粮食生产任务安排。</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6.</w:t>
      </w:r>
      <w:r>
        <w:rPr>
          <w:rFonts w:ascii="仿宋_GB2312" w:eastAsia="仿宋_GB2312" w:cs="仿宋_GB2312" w:hint="eastAsia"/>
          <w:b/>
          <w:bCs/>
          <w:snapToGrid/>
          <w:kern w:val="2"/>
          <w:sz w:val="32"/>
          <w:szCs w:val="32"/>
          <w:lang w:val="en-US" w:eastAsia="zh-CN" w:bidi="ar-SA"/>
        </w:rPr>
        <w:t>耕地恢复工作推进不够有力</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整改情况：制定并落实耕地恢复措施，要求相关责任人立行立改，目前抛荒耕地已恢复完毕并已投入农业生产使用。持续加强巡查力度，强化全镇耕地实施动态监测，持续推进耕地恢复，防范土地抛荒。</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highlight w:val="auto"/>
        </w:rPr>
      </w:pPr>
      <w:r>
        <w:rPr>
          <w:rFonts w:ascii="仿宋_GB2312" w:eastAsia="仿宋_GB2312" w:cs="仿宋_GB2312"/>
          <w:b/>
          <w:bCs/>
          <w:snapToGrid/>
          <w:kern w:val="2"/>
          <w:sz w:val="32"/>
          <w:szCs w:val="32"/>
          <w:lang w:val="en-US" w:eastAsia="zh-CN" w:bidi="ar-SA"/>
        </w:rPr>
        <w:t>7.</w:t>
      </w:r>
      <w:r>
        <w:rPr>
          <w:rFonts w:ascii="仿宋_GB2312" w:eastAsia="仿宋_GB2312" w:cs="仿宋_GB2312" w:hint="eastAsia"/>
          <w:b/>
          <w:bCs/>
          <w:snapToGrid/>
          <w:kern w:val="2"/>
          <w:sz w:val="32"/>
          <w:szCs w:val="32"/>
          <w:lang w:val="en-US" w:eastAsia="zh-CN" w:bidi="ar-SA"/>
          <w:highlight w:val="auto"/>
        </w:rPr>
        <w:t>遏制新增占用耕地建房日常监管不到位</w:t>
      </w:r>
      <w:r>
        <w:rPr>
          <w:rFonts w:ascii="仿宋_GB2312" w:eastAsia="仿宋_GB2312" w:cs="仿宋_GB2312"/>
          <w:b/>
          <w:bCs/>
          <w:snapToGrid/>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整改情况：镇相关负责人多次上户协商，耐心解释关于建房相关的国家政策，依法依规对占用耕地建房情况进行处置。持续加强违建巡查力度，加大土地政策宣传力度，严肃杜绝此类事件再次发生。</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8.</w:t>
      </w:r>
      <w:r>
        <w:rPr>
          <w:rFonts w:ascii="仿宋_GB2312" w:eastAsia="仿宋_GB2312" w:cs="仿宋_GB2312" w:hint="eastAsia"/>
          <w:b/>
          <w:bCs/>
          <w:snapToGrid/>
          <w:kern w:val="2"/>
          <w:sz w:val="32"/>
          <w:szCs w:val="32"/>
          <w:lang w:val="en-US" w:eastAsia="zh-CN" w:bidi="ar-SA"/>
        </w:rPr>
        <w:t>基础设施建设存在短板</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整改情况：对全镇范围内村组道路进行全面摸底，形成《姜畲镇村组道路摸底情况表》，全力推进村组公路建设和水利设施日常巡查，方便群众出行和保障农业生产。</w:t>
      </w:r>
    </w:p>
    <w:p>
      <w:pPr>
        <w:keepNext w:val="0"/>
        <w:keepLines w:val="0"/>
        <w:pageBreakBefore w:val="0"/>
        <w:widowControl w:val="0"/>
        <w:kinsoku/>
        <w:overflowPunct/>
        <w:topLinePunct w:val="0"/>
        <w:autoSpaceDE/>
        <w:autoSpaceDN/>
        <w:bidi w:val="0"/>
        <w:adjustRightInd/>
        <w:snapToGrid/>
        <w:spacing w:line="540" w:lineRule="exact"/>
        <w:ind w:firstLineChars="200" w:firstLine="640"/>
        <w:textAlignment w:val="auto"/>
      </w:pPr>
      <w:r>
        <w:rPr>
          <w:rFonts w:ascii="仿宋_GB2312" w:eastAsia="仿宋_GB2312" w:cs="仿宋_GB2312"/>
          <w:b/>
          <w:bCs/>
          <w:snapToGrid/>
          <w:kern w:val="2"/>
          <w:sz w:val="32"/>
          <w:szCs w:val="32"/>
          <w:lang w:val="en-US" w:eastAsia="zh-CN" w:bidi="ar-SA"/>
        </w:rPr>
        <w:t>9.</w:t>
      </w:r>
      <w:r>
        <w:rPr>
          <w:rFonts w:ascii="仿宋_GB2312" w:eastAsia="仿宋_GB2312" w:cs="仿宋_GB2312" w:hint="eastAsia"/>
          <w:b/>
          <w:bCs/>
          <w:snapToGrid/>
          <w:kern w:val="2"/>
          <w:sz w:val="32"/>
          <w:szCs w:val="32"/>
          <w:lang w:val="en-US" w:eastAsia="zh-CN" w:bidi="ar-SA"/>
        </w:rPr>
        <w:t>土地流转租金保障不到位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组织召开协调会议，充分了解企业和群众意见，指导制定合理处理方式，土地流转租金现已全部结清。全镇积极落实土地流转复垦保证金制度，制定《姜畲镇农村土地经营权流转登记（备案）台账》，全力推进土地规范化流转，防止农村集体资产流失，切实维护群众合法权益。</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10.</w:t>
      </w:r>
      <w:r>
        <w:rPr>
          <w:rFonts w:ascii="仿宋_GB2312" w:eastAsia="仿宋_GB2312" w:cs="仿宋_GB2312" w:hint="eastAsia"/>
          <w:b/>
          <w:bCs/>
          <w:snapToGrid/>
          <w:kern w:val="2"/>
          <w:sz w:val="32"/>
          <w:szCs w:val="32"/>
          <w:lang w:val="en-US" w:eastAsia="zh-CN" w:bidi="ar-SA"/>
        </w:rPr>
        <w:t>推进移风易俗效果不佳</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整改情况：加强上户沟通，依法依规对豪华墓、活人墓进行拆除。依托新时代文明实践站，积极组织开展移风易俗宣传活动，进一步夯实殡葬改革政策宣传教育效果。</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11.</w:t>
      </w:r>
      <w:r>
        <w:rPr>
          <w:rFonts w:ascii="仿宋_GB2312" w:eastAsia="仿宋_GB2312" w:cs="仿宋_GB2312" w:hint="eastAsia"/>
          <w:b/>
          <w:bCs/>
          <w:snapToGrid/>
          <w:kern w:val="2"/>
          <w:sz w:val="32"/>
          <w:szCs w:val="32"/>
          <w:lang w:val="en-US" w:eastAsia="zh-CN" w:bidi="ar-SA"/>
        </w:rPr>
        <w:t>推动信访法治化不够有力</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整改情况：组织信访专干开展业务学习培训，完善信访机制及台账，及时更新和反馈信访处理进度情况，积极联动司法部门，相关信访协议由镇司法所严格把关，提高信访工作水平。</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12.</w:t>
      </w:r>
      <w:r>
        <w:rPr>
          <w:rFonts w:ascii="仿宋_GB2312" w:eastAsia="仿宋_GB2312" w:cs="仿宋_GB2312" w:hint="eastAsia"/>
          <w:b/>
          <w:bCs/>
          <w:snapToGrid/>
          <w:kern w:val="2"/>
          <w:sz w:val="32"/>
          <w:szCs w:val="32"/>
          <w:lang w:val="en-US" w:eastAsia="zh-CN" w:bidi="ar-SA"/>
        </w:rPr>
        <w:t>生态环境保护责任落实不到位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整改情况：强化顶层设计，修订生态环保相关制度方案，织密防控网络，立体宣教引导，构建生态环境保护长效治理机制。</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val="0"/>
          <w:bCs w:val="0"/>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（三）纪律规矩意识不强，“四风”问题屡禁不止</w:t>
      </w:r>
      <w:r>
        <w:rPr>
          <w:rFonts w:ascii="楷体_GB2312" w:eastAsia="楷体_GB2312" w:cs="楷体_GB2312"/>
          <w:b/>
          <w:bCs/>
          <w:snapToGrid/>
          <w:kern w:val="2"/>
          <w:sz w:val="32"/>
          <w:szCs w:val="32"/>
          <w:lang w:val="en-US" w:eastAsia="zh-CN" w:bidi="ar-SA"/>
        </w:rPr>
        <w:t>方面</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hint="eastAsia"/>
          <w:b/>
          <w:bCs/>
          <w:snapToGrid/>
          <w:kern w:val="2"/>
          <w:sz w:val="32"/>
          <w:szCs w:val="32"/>
          <w:lang w:val="en-US" w:eastAsia="zh-CN" w:bidi="ar-SA"/>
        </w:rPr>
        <w:t>问题13：在项目中违规发放补助</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highlight w:val="auto"/>
        </w:rPr>
        <w:t>整改情况：发放的不规范补贴已全部退回。严格审批补助发放，项目考勤，加强监管力度。</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hint="eastAsia"/>
          <w:b/>
          <w:bCs/>
          <w:snapToGrid/>
          <w:kern w:val="2"/>
          <w:sz w:val="32"/>
          <w:szCs w:val="32"/>
          <w:lang w:val="en-US" w:eastAsia="zh-CN" w:bidi="ar-SA"/>
        </w:rPr>
        <w:t>问题14：违规发放津补贴</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整改情况：发放的超范围、超标准津补贴</w:t>
      </w:r>
      <w:r>
        <w:rPr>
          <w:rFonts w:ascii="仿宋_GB2312" w:eastAsia="仿宋_GB2312" w:cs="仿宋_GB2312" w:hint="eastAsia"/>
          <w:b w:val="0"/>
          <w:bCs w:val="0"/>
          <w:snapToGrid/>
          <w:kern w:val="2"/>
          <w:sz w:val="32"/>
          <w:szCs w:val="32"/>
          <w:lang w:val="en-US" w:eastAsia="zh-CN" w:bidi="ar-SA"/>
          <w:highlight w:val="auto"/>
        </w:rPr>
        <w:t>已全部</w:t>
      </w:r>
      <w:r>
        <w:rPr>
          <w:rFonts w:ascii="仿宋_GB2312" w:eastAsia="仿宋_GB2312" w:cs="仿宋_GB2312" w:hint="eastAsia"/>
          <w:b w:val="0"/>
          <w:bCs w:val="0"/>
          <w:snapToGrid/>
          <w:kern w:val="2"/>
          <w:sz w:val="32"/>
          <w:szCs w:val="32"/>
          <w:lang w:val="en-US" w:eastAsia="zh-CN" w:bidi="ar-SA"/>
        </w:rPr>
        <w:t>清退。严格按照文件规定的范围发放津补贴。</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楷体_GB2312" w:eastAsia="楷体_GB2312" w:cs="楷体_GB2312" w:hint="eastAsia"/>
          <w:b/>
          <w:bCs/>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（四）重点领域监管缺失，存在较大廉政风险</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15.</w:t>
      </w:r>
      <w:r>
        <w:rPr>
          <w:rFonts w:ascii="仿宋_GB2312" w:eastAsia="仿宋_GB2312" w:cs="仿宋_GB2312" w:hint="eastAsia"/>
          <w:b/>
          <w:bCs/>
          <w:snapToGrid/>
          <w:kern w:val="2"/>
          <w:sz w:val="32"/>
          <w:szCs w:val="32"/>
          <w:lang w:val="en-US" w:eastAsia="zh-CN" w:bidi="ar-SA"/>
        </w:rPr>
        <w:t>镇财务人员业务素质较低</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整改情况：完善镇级、村级财务管理制度，明确账务处理流程，严格审核报账资料，加强科学指导和业务培训，建立村集体经济收入台账。</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16.</w:t>
      </w:r>
      <w:r>
        <w:rPr>
          <w:rFonts w:ascii="仿宋_GB2312" w:eastAsia="仿宋_GB2312" w:cs="仿宋_GB2312" w:hint="eastAsia"/>
          <w:b/>
          <w:bCs/>
          <w:snapToGrid/>
          <w:kern w:val="2"/>
          <w:sz w:val="32"/>
          <w:szCs w:val="32"/>
          <w:lang w:val="en-US" w:eastAsia="zh-CN" w:bidi="ar-SA"/>
        </w:rPr>
        <w:t>“四议两公开”执行不到位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line="540" w:lineRule="exact"/>
        <w:ind w:firstLineChars="200" w:firstLine="640"/>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整改情况：加强村（社区）“四议两公开”相关流程业务培训，要求村（社区）严格落实“四议两公开”相关程序，严格监管“四议两公开”全过程。</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17.</w:t>
      </w:r>
      <w:r>
        <w:rPr>
          <w:rFonts w:ascii="仿宋_GB2312" w:eastAsia="仿宋_GB2312" w:cs="仿宋_GB2312" w:hint="eastAsia"/>
          <w:b/>
          <w:bCs/>
          <w:snapToGrid/>
          <w:kern w:val="2"/>
          <w:sz w:val="32"/>
          <w:szCs w:val="32"/>
          <w:lang w:val="en-US" w:eastAsia="zh-CN" w:bidi="ar-SA"/>
        </w:rPr>
        <w:t>村级财务管理不规范</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整改情况：健全完善《姜畲镇村级财务管理制度》，严格执行审批制度和业务程序，持续加强对村级财务的规范化管理和高标准把关。</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18.</w:t>
      </w:r>
      <w:r>
        <w:rPr>
          <w:rFonts w:ascii="仿宋_GB2312" w:eastAsia="仿宋_GB2312" w:cs="仿宋_GB2312" w:hint="eastAsia"/>
          <w:b/>
          <w:bCs/>
          <w:snapToGrid/>
          <w:kern w:val="2"/>
          <w:sz w:val="32"/>
          <w:szCs w:val="32"/>
          <w:lang w:val="en-US" w:eastAsia="zh-CN" w:bidi="ar-SA"/>
        </w:rPr>
        <w:t>乡村振兴衔接资金使用管理不规范</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整改情况：加强乡村振兴衔接资金使用的监管力度，严格规范使用流程，补全相关手续，提高乡村振兴衔接资金使用效率及质量。</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19.</w:t>
      </w:r>
      <w:r>
        <w:rPr>
          <w:rFonts w:ascii="仿宋_GB2312" w:eastAsia="仿宋_GB2312" w:cs="仿宋_GB2312" w:hint="eastAsia"/>
          <w:b/>
          <w:bCs/>
          <w:snapToGrid/>
          <w:kern w:val="2"/>
          <w:sz w:val="32"/>
          <w:szCs w:val="32"/>
          <w:lang w:val="en-US" w:eastAsia="zh-CN" w:bidi="ar-SA"/>
        </w:rPr>
        <w:t>项目中存在虚列开支现象</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整改情况：积极配合项目调查工作，严格加强项目管理与项目人员业务培训，推进项目财务规范化、标准化。</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20.</w:t>
      </w:r>
      <w:r>
        <w:rPr>
          <w:rFonts w:ascii="仿宋_GB2312" w:eastAsia="仿宋_GB2312" w:cs="仿宋_GB2312" w:hint="eastAsia"/>
          <w:b/>
          <w:bCs/>
          <w:snapToGrid/>
          <w:kern w:val="2"/>
          <w:sz w:val="32"/>
          <w:szCs w:val="32"/>
          <w:lang w:val="en-US" w:eastAsia="zh-CN" w:bidi="ar-SA"/>
        </w:rPr>
        <w:t>公款转私账</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整改情况：贯彻落实项目建设相关规定，加强业务人员培训学习，严格执行财务监管制度。</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21.</w:t>
      </w:r>
      <w:r>
        <w:rPr>
          <w:rFonts w:ascii="仿宋_GB2312" w:eastAsia="仿宋_GB2312" w:cs="仿宋_GB2312" w:hint="eastAsia"/>
          <w:b/>
          <w:bCs/>
          <w:snapToGrid/>
          <w:kern w:val="2"/>
          <w:sz w:val="32"/>
          <w:szCs w:val="32"/>
          <w:lang w:val="en-US" w:eastAsia="zh-CN" w:bidi="ar-SA"/>
        </w:rPr>
        <w:t>以租车名义套取资金现象</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整改情况：对相关人员进行追责处理。严格执行财务监管制度，杜绝套取资金现象。</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22.</w:t>
      </w:r>
      <w:r>
        <w:rPr>
          <w:rFonts w:ascii="仿宋_GB2312" w:eastAsia="仿宋_GB2312" w:cs="仿宋_GB2312" w:hint="eastAsia"/>
          <w:b/>
          <w:bCs/>
          <w:snapToGrid/>
          <w:kern w:val="2"/>
          <w:sz w:val="32"/>
          <w:szCs w:val="32"/>
          <w:lang w:val="en-US" w:eastAsia="zh-CN" w:bidi="ar-SA"/>
        </w:rPr>
        <w:t>固定资产管理不规范</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整改情况：严格执行固定资产管理制度，开展国有资产清查，完善相关流程手续。</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23.</w:t>
      </w:r>
      <w:r>
        <w:rPr>
          <w:rFonts w:ascii="仿宋_GB2312" w:eastAsia="仿宋_GB2312" w:cs="仿宋_GB2312" w:hint="eastAsia"/>
          <w:b/>
          <w:bCs/>
          <w:snapToGrid/>
          <w:kern w:val="2"/>
          <w:sz w:val="32"/>
          <w:szCs w:val="32"/>
          <w:lang w:val="en-US" w:eastAsia="zh-CN" w:bidi="ar-SA"/>
        </w:rPr>
        <w:t>货物采购管理不严</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highlight w:val="yellow"/>
        </w:rPr>
      </w:pPr>
      <w:r>
        <w:rPr>
          <w:rFonts w:ascii="仿宋_GB2312" w:eastAsia="仿宋_GB2312" w:cs="仿宋_GB2312" w:hint="eastAsia"/>
          <w:b w:val="0"/>
          <w:bCs w:val="0"/>
          <w:snapToGrid/>
          <w:kern w:val="2"/>
          <w:sz w:val="32"/>
          <w:szCs w:val="32"/>
          <w:lang w:val="en-US" w:eastAsia="zh-CN" w:bidi="ar-SA"/>
        </w:rPr>
        <w:t>整改情况：</w:t>
      </w:r>
      <w:r>
        <w:rPr>
          <w:rFonts w:ascii="仿宋_GB2312" w:eastAsia="仿宋_GB2312" w:cs="仿宋_GB2312" w:hint="eastAsia"/>
          <w:b w:val="0"/>
          <w:bCs w:val="0"/>
          <w:snapToGrid/>
          <w:kern w:val="2"/>
          <w:sz w:val="32"/>
          <w:szCs w:val="32"/>
          <w:lang w:val="en-US" w:eastAsia="zh-CN" w:bidi="ar-SA"/>
          <w:highlight w:val="auto"/>
        </w:rPr>
        <w:t>修订《政府采购内控制度》，规范购买渠道，加强发票凭证审核把关，强化内部流程控制，促进政府采购提质增效。</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24.</w:t>
      </w:r>
      <w:r>
        <w:rPr>
          <w:rFonts w:ascii="仿宋_GB2312" w:eastAsia="仿宋_GB2312" w:cs="仿宋_GB2312" w:hint="eastAsia"/>
          <w:b/>
          <w:bCs/>
          <w:snapToGrid/>
          <w:kern w:val="2"/>
          <w:sz w:val="32"/>
          <w:szCs w:val="32"/>
          <w:lang w:val="en-US" w:eastAsia="zh-CN" w:bidi="ar-SA"/>
        </w:rPr>
        <w:t>执法车辆管理不严</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w:t>
      </w:r>
      <w:r>
        <w:rPr>
          <w:rFonts w:ascii="仿宋_GB2312" w:eastAsia="仿宋_GB2312" w:cs="仿宋_GB2312" w:hint="eastAsia"/>
          <w:b w:val="0"/>
          <w:bCs w:val="0"/>
          <w:snapToGrid/>
          <w:kern w:val="2"/>
          <w:sz w:val="32"/>
          <w:szCs w:val="32"/>
          <w:lang w:val="en-US" w:eastAsia="zh-CN" w:bidi="ar-SA"/>
          <w:highlight w:val="auto"/>
        </w:rPr>
        <w:t>加强执法人员业务培训，严格管理执法车辆。</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方正楷体_GB2312" w:eastAsia="方正楷体_GB2312" w:cs="方正楷体_GB2312" w:hint="eastAsia"/>
          <w:b/>
          <w:bCs/>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（五）管党治党政治责任落实不力，基层党组织建设有差距</w:t>
      </w:r>
      <w:r>
        <w:rPr>
          <w:rFonts w:ascii="楷体_GB2312" w:eastAsia="楷体_GB2312" w:cs="楷体_GB2312"/>
          <w:b/>
          <w:bCs/>
          <w:snapToGrid/>
          <w:kern w:val="2"/>
          <w:sz w:val="32"/>
          <w:szCs w:val="32"/>
          <w:lang w:val="en-US" w:eastAsia="zh-CN" w:bidi="ar-SA"/>
        </w:rPr>
        <w:t>方面</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25.</w:t>
      </w:r>
      <w:r>
        <w:rPr>
          <w:rFonts w:ascii="仿宋_GB2312" w:eastAsia="仿宋_GB2312" w:cs="仿宋_GB2312" w:hint="eastAsia"/>
          <w:b/>
          <w:bCs/>
          <w:snapToGrid/>
          <w:kern w:val="2"/>
          <w:sz w:val="32"/>
          <w:szCs w:val="32"/>
          <w:lang w:val="en-US" w:eastAsia="zh-CN" w:bidi="ar-SA"/>
        </w:rPr>
        <w:t>党委落实主体责任不到位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整改情况：镇党委积极贯彻落实管党治党主体责任，强化党风廉政建设研究部署，召开警示教育大会，经常性开展谈心谈话、咬耳扯袖，锤炼优良作风。</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26.</w:t>
      </w:r>
      <w:r>
        <w:rPr>
          <w:rFonts w:ascii="仿宋_GB2312" w:eastAsia="仿宋_GB2312" w:cs="仿宋_GB2312" w:hint="eastAsia"/>
          <w:b/>
          <w:bCs/>
          <w:snapToGrid/>
          <w:kern w:val="2"/>
          <w:sz w:val="32"/>
          <w:szCs w:val="32"/>
          <w:lang w:val="en-US" w:eastAsia="zh-CN" w:bidi="ar-SA"/>
        </w:rPr>
        <w:t>监督执纪问责不严</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整改情况：加强工作人员业务学习，提高发现问题线索的能力。强化监督检查，做到敢抓敢管，严肃严格处理违纪违法问题，加强违纪违法案件的警示教育。</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27.</w:t>
      </w:r>
      <w:r>
        <w:rPr>
          <w:rFonts w:ascii="仿宋_GB2312" w:eastAsia="仿宋_GB2312" w:cs="仿宋_GB2312" w:hint="eastAsia"/>
          <w:b/>
          <w:bCs/>
          <w:snapToGrid/>
          <w:kern w:val="2"/>
          <w:sz w:val="32"/>
          <w:szCs w:val="32"/>
          <w:lang w:val="en-US" w:eastAsia="zh-CN" w:bidi="ar-SA"/>
        </w:rPr>
        <w:t>党员干部教育监管不到位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整改情况：加强党员教育管理，认真贯彻落实全面从严治党，深入开展主题教育，认真学习习近平新时代中国特色社会主义思想。</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28.</w:t>
      </w:r>
      <w:r>
        <w:rPr>
          <w:rFonts w:ascii="仿宋_GB2312" w:eastAsia="仿宋_GB2312" w:cs="仿宋_GB2312" w:hint="eastAsia"/>
          <w:b/>
          <w:bCs/>
          <w:snapToGrid/>
          <w:kern w:val="2"/>
          <w:sz w:val="32"/>
          <w:szCs w:val="32"/>
          <w:lang w:val="en-US" w:eastAsia="zh-CN" w:bidi="ar-SA"/>
        </w:rPr>
        <w:t>党建主体责任履行不到位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整改情况：镇党委压实主体责任，加强党建工作研究部署，充分发挥党建引领作用，推进党建工作高质量发展。提升村级党组织战斗力，召开民情恳谈会，求真务实找问题、补短板，树牢为民服务宗旨意识。</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b/>
          <w:bCs/>
          <w:snapToGrid/>
          <w:kern w:val="2"/>
          <w:sz w:val="32"/>
          <w:szCs w:val="32"/>
          <w:lang w:val="en-US" w:eastAsia="zh-CN" w:bidi="ar-SA"/>
        </w:rPr>
        <w:t>29.</w:t>
      </w:r>
      <w:r>
        <w:rPr>
          <w:rFonts w:ascii="仿宋_GB2312" w:eastAsia="仿宋_GB2312" w:cs="仿宋_GB2312" w:hint="eastAsia"/>
          <w:b/>
          <w:bCs/>
          <w:snapToGrid/>
          <w:kern w:val="2"/>
          <w:sz w:val="32"/>
          <w:szCs w:val="32"/>
          <w:lang w:val="en-US" w:eastAsia="zh-CN" w:bidi="ar-SA"/>
        </w:rPr>
        <w:t>村（社区）党组织班子队伍建设有短板</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整改情况：建立班子成员与联点村干部谈心谈话制度，搭建镇村沟通桥梁，进一步提高基层治理能力和服务群众水平。提高村干部待遇，健全《姜畲镇关于规范村干部工资发放 落实社会保障机制的实施办法》。建立完善村级后备干部人才库，开展结对帮带，促进人才快速成长。建立“三类”人才库，发挥乡贤作用，鼓励人才积极投入乡村建设。</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bCs/>
          <w:snapToGrid/>
          <w:kern w:val="2"/>
          <w:sz w:val="32"/>
          <w:szCs w:val="32"/>
          <w:lang w:val="en-US" w:eastAsia="zh-CN" w:bidi="ar-SA"/>
        </w:rPr>
      </w:pPr>
      <w:r>
        <w:rPr>
          <w:rFonts w:ascii="仿宋_GB2312" w:eastAsia="仿宋_GB2312" w:cs="仿宋_GB2312"/>
          <w:b/>
          <w:bCs/>
          <w:snapToGrid/>
          <w:kern w:val="2"/>
          <w:sz w:val="32"/>
          <w:szCs w:val="32"/>
          <w:lang w:val="en-US" w:eastAsia="zh-CN" w:bidi="ar-SA"/>
        </w:rPr>
        <w:t>30.</w:t>
      </w:r>
      <w:r>
        <w:rPr>
          <w:rFonts w:ascii="仿宋_GB2312" w:eastAsia="仿宋_GB2312" w:cs="仿宋_GB2312" w:hint="eastAsia"/>
          <w:b/>
          <w:bCs/>
          <w:snapToGrid/>
          <w:kern w:val="2"/>
          <w:sz w:val="32"/>
          <w:szCs w:val="32"/>
          <w:lang w:val="en-US" w:eastAsia="zh-CN" w:bidi="ar-SA"/>
        </w:rPr>
        <w:t>支部组织生活制度落实不到位</w:t>
      </w:r>
      <w:r>
        <w:rPr>
          <w:rFonts w:ascii="仿宋_GB2312" w:eastAsia="仿宋_GB2312" w:cs="仿宋_GB2312"/>
          <w:b/>
          <w:bCs/>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CESI黑体-GB2312" w:eastAsia="CESI黑体-GB2312" w:cs="CESI黑体-GB2312" w:hint="eastAsia"/>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整改情况：贯彻落实支部组织生活制度，补齐姜畲镇机关党总支委员，明确专人抓机关总支党建工作。严格制定2025年机关支部年度计划。加强督查指导，利用每月主题党日活动契机，对“三会一课”等相关台账资料组织村（社区）与机关互查，确保机关总支党建工作规范有序。</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CESI黑体-GB2312" w:eastAsia="CESI黑体-GB2312" w:cs="CESI黑体-GB2312" w:hint="eastAsia"/>
          <w:b w:val="0"/>
          <w:bCs w:val="0"/>
          <w:snapToGrid/>
          <w:kern w:val="2"/>
          <w:sz w:val="32"/>
          <w:szCs w:val="32"/>
          <w:lang w:val="en-US" w:eastAsia="zh-CN" w:bidi="ar-SA"/>
        </w:rPr>
      </w:pPr>
      <w:r>
        <w:rPr>
          <w:rFonts w:ascii="CESI黑体-GB2312" w:eastAsia="CESI黑体-GB2312" w:cs="CESI黑体-GB2312" w:hint="eastAsia"/>
          <w:b w:val="0"/>
          <w:bCs w:val="0"/>
          <w:snapToGrid/>
          <w:kern w:val="2"/>
          <w:sz w:val="32"/>
          <w:szCs w:val="32"/>
          <w:lang w:val="en-US" w:eastAsia="zh-CN" w:bidi="ar-SA"/>
        </w:rPr>
        <w:t>三、下一步整改工作部署</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（一）深化理论研习，严抓管党治党。</w:t>
      </w:r>
      <w:r>
        <w:rPr>
          <w:rFonts w:ascii="仿宋_GB2312" w:eastAsia="仿宋_GB2312" w:cs="仿宋_GB2312" w:hint="eastAsia"/>
          <w:b w:val="0"/>
          <w:bCs w:val="0"/>
          <w:snapToGrid/>
          <w:kern w:val="2"/>
          <w:sz w:val="32"/>
          <w:szCs w:val="32"/>
          <w:lang w:val="en-US" w:eastAsia="zh-CN" w:bidi="ar-SA"/>
        </w:rPr>
        <w:t>姜畲镇党委带领全镇系统研学党的二十届三中全会精神及习近平总书记重要论述，持续提升巡察整改政治自觉。着力强化“四个意识”、坚定“四个自信”、做到“两个维护”，坚持学思用贯通、知信行统一，夯实理论根基，增强理论指导实践效能。以严实作风推进各项工作提质增效，展现新时代基层工作新气象。</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（二）推进长效整改，完善制度机制。</w:t>
      </w:r>
      <w:r>
        <w:rPr>
          <w:rFonts w:ascii="仿宋_GB2312" w:eastAsia="仿宋_GB2312" w:cs="仿宋_GB2312" w:hint="eastAsia"/>
          <w:b w:val="0"/>
          <w:bCs w:val="0"/>
          <w:snapToGrid/>
          <w:kern w:val="2"/>
          <w:sz w:val="32"/>
          <w:szCs w:val="32"/>
          <w:lang w:val="en-US" w:eastAsia="zh-CN" w:bidi="ar-SA"/>
        </w:rPr>
        <w:t>姜畲镇党委切实担起巡察整改政治责任，持续做好整改</w:t>
      </w:r>
      <w:r>
        <w:rPr>
          <w:rFonts w:ascii="仿宋_GB2312" w:eastAsia="仿宋_GB2312" w:cs="仿宋_GB2312"/>
          <w:b w:val="0"/>
          <w:bCs w:val="0"/>
          <w:snapToGrid/>
          <w:kern w:val="2"/>
          <w:sz w:val="32"/>
          <w:szCs w:val="32"/>
          <w:lang w:val="en-US" w:eastAsia="zh-CN" w:bidi="ar-SA"/>
        </w:rPr>
        <w:t>“</w:t>
      </w:r>
      <w:r>
        <w:rPr>
          <w:rFonts w:ascii="仿宋_GB2312" w:eastAsia="仿宋_GB2312" w:cs="仿宋_GB2312" w:hint="eastAsia"/>
          <w:b w:val="0"/>
          <w:bCs w:val="0"/>
          <w:snapToGrid/>
          <w:kern w:val="2"/>
          <w:sz w:val="32"/>
          <w:szCs w:val="32"/>
          <w:lang w:val="en-US" w:eastAsia="zh-CN" w:bidi="ar-SA"/>
        </w:rPr>
        <w:t>后半篇文章</w:t>
      </w:r>
      <w:r>
        <w:rPr>
          <w:rFonts w:ascii="仿宋_GB2312" w:eastAsia="仿宋_GB2312" w:cs="仿宋_GB2312"/>
          <w:b w:val="0"/>
          <w:bCs w:val="0"/>
          <w:snapToGrid/>
          <w:kern w:val="2"/>
          <w:sz w:val="32"/>
          <w:szCs w:val="32"/>
          <w:lang w:val="en-US" w:eastAsia="zh-CN" w:bidi="ar-SA"/>
        </w:rPr>
        <w:t>”</w:t>
      </w:r>
      <w:r>
        <w:rPr>
          <w:rFonts w:ascii="仿宋_GB2312" w:eastAsia="仿宋_GB2312" w:cs="仿宋_GB2312" w:hint="eastAsia"/>
          <w:b w:val="0"/>
          <w:bCs w:val="0"/>
          <w:snapToGrid/>
          <w:kern w:val="2"/>
          <w:sz w:val="32"/>
          <w:szCs w:val="32"/>
          <w:lang w:val="en-US" w:eastAsia="zh-CN" w:bidi="ar-SA"/>
        </w:rPr>
        <w:t>。完善组织领导体系，建立统筹协调机制，强化督导检查力度。对已整改事项开展</w:t>
      </w:r>
      <w:r>
        <w:rPr>
          <w:rFonts w:ascii="仿宋_GB2312" w:eastAsia="仿宋_GB2312" w:cs="仿宋_GB2312"/>
          <w:b w:val="0"/>
          <w:bCs w:val="0"/>
          <w:snapToGrid/>
          <w:kern w:val="2"/>
          <w:sz w:val="32"/>
          <w:szCs w:val="32"/>
          <w:lang w:val="en-US" w:eastAsia="zh-CN" w:bidi="ar-SA"/>
        </w:rPr>
        <w:t>“</w:t>
      </w:r>
      <w:r>
        <w:rPr>
          <w:rFonts w:ascii="仿宋_GB2312" w:eastAsia="仿宋_GB2312" w:cs="仿宋_GB2312" w:hint="eastAsia"/>
          <w:b w:val="0"/>
          <w:bCs w:val="0"/>
          <w:snapToGrid/>
          <w:kern w:val="2"/>
          <w:sz w:val="32"/>
          <w:szCs w:val="32"/>
          <w:lang w:val="en-US" w:eastAsia="zh-CN" w:bidi="ar-SA"/>
        </w:rPr>
        <w:t>回头看</w:t>
      </w:r>
      <w:r>
        <w:rPr>
          <w:rFonts w:ascii="仿宋_GB2312" w:eastAsia="仿宋_GB2312" w:cs="仿宋_GB2312"/>
          <w:b w:val="0"/>
          <w:bCs w:val="0"/>
          <w:snapToGrid/>
          <w:kern w:val="2"/>
          <w:sz w:val="32"/>
          <w:szCs w:val="32"/>
          <w:lang w:val="en-US" w:eastAsia="zh-CN" w:bidi="ar-SA"/>
        </w:rPr>
        <w:t>”</w:t>
      </w:r>
      <w:r>
        <w:rPr>
          <w:rFonts w:ascii="仿宋_GB2312" w:eastAsia="仿宋_GB2312" w:cs="仿宋_GB2312" w:hint="eastAsia"/>
          <w:b w:val="0"/>
          <w:bCs w:val="0"/>
          <w:snapToGrid/>
          <w:kern w:val="2"/>
          <w:sz w:val="32"/>
          <w:szCs w:val="32"/>
          <w:lang w:val="en-US" w:eastAsia="zh-CN" w:bidi="ar-SA"/>
        </w:rPr>
        <w:t>专项核查，对复杂问题实施溯源治理，细化量化整改措施，确保标本兼治。构建常态化整改机制，巩固深化整改成效。</w:t>
      </w:r>
    </w:p>
    <w:p>
      <w:pPr>
        <w:keepNext w:val="0"/>
        <w:keepLines w:val="0"/>
        <w:pageBreakBefore w:val="0"/>
        <w:widowControl w:val="0"/>
        <w:kinsoku/>
        <w:wordWrap/>
        <w:overflowPunct/>
        <w:topLinePunct w:val="0"/>
        <w:autoSpaceDE/>
        <w:autoSpaceDN/>
        <w:bidi w:val="0"/>
        <w:adjustRightInd/>
        <w:snapToGrid/>
        <w:spacing w:line="540" w:lineRule="exact"/>
        <w:ind w:left="0" w:firstLineChars="200" w:firstLine="640"/>
        <w:jc w:val="both"/>
        <w:textAlignment w:val="auto"/>
        <w:rPr>
          <w:rFonts w:ascii="仿宋_GB2312" w:eastAsia="仿宋_GB2312" w:cs="仿宋_GB2312" w:hint="eastAsia"/>
          <w:b w:val="0"/>
          <w:bCs w:val="0"/>
          <w:snapToGrid/>
          <w:kern w:val="2"/>
          <w:sz w:val="32"/>
          <w:szCs w:val="32"/>
          <w:lang w:val="en-US" w:eastAsia="zh-CN" w:bidi="ar-SA"/>
        </w:rPr>
      </w:pPr>
      <w:r>
        <w:rPr>
          <w:rFonts w:ascii="楷体_GB2312" w:eastAsia="楷体_GB2312" w:cs="楷体_GB2312" w:hint="eastAsia"/>
          <w:b/>
          <w:bCs/>
          <w:snapToGrid/>
          <w:kern w:val="2"/>
          <w:sz w:val="32"/>
          <w:szCs w:val="32"/>
          <w:lang w:val="en-US" w:eastAsia="zh-CN" w:bidi="ar-SA"/>
        </w:rPr>
        <w:t>（三）压实工作责任，深化成果运用。</w:t>
      </w:r>
      <w:r>
        <w:rPr>
          <w:rFonts w:ascii="仿宋_GB2312" w:eastAsia="仿宋_GB2312" w:cs="仿宋_GB2312" w:hint="eastAsia"/>
          <w:b w:val="0"/>
          <w:bCs w:val="0"/>
          <w:snapToGrid/>
          <w:kern w:val="2"/>
          <w:sz w:val="32"/>
          <w:szCs w:val="32"/>
          <w:lang w:val="en-US" w:eastAsia="zh-CN" w:bidi="ar-SA"/>
        </w:rPr>
        <w:t>将整改成效与推进姜畲镇高质量发展深度融合，领导干部示范带动，层层传导责任压力。保持正风肃纪战略定力，将作风建设的制度性成果贯穿工作全程。统筹推进整改落实与重点任务，促进整改成效向治理效能转化，以高质量发展实绩检验整改成果，推动全镇经济社会发展实现新跨越。</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both"/>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b w:val="0"/>
          <w:bCs w:val="0"/>
          <w:snapToGrid/>
          <w:kern w:val="2"/>
          <w:sz w:val="32"/>
          <w:szCs w:val="32"/>
          <w:lang w:val="en-US" w:eastAsia="zh-CN" w:bidi="ar-SA"/>
        </w:rPr>
        <w:t>欢迎广大干部群众对巡察整改落实情况进行监督。如有意见建议，请及时向我们反映。联系方式：</w:t>
      </w:r>
      <w:r>
        <w:rPr>
          <w:rFonts w:ascii="仿宋_GB2312" w:eastAsia="仿宋_GB2312" w:cs="仿宋_GB2312" w:hint="eastAsia"/>
          <w:b w:val="0"/>
          <w:bCs w:val="0"/>
          <w:snapToGrid/>
          <w:kern w:val="2"/>
          <w:sz w:val="32"/>
          <w:szCs w:val="32"/>
          <w:lang w:val="en-US" w:eastAsia="zh-CN" w:bidi="ar-SA"/>
        </w:rPr>
        <w:t>0731-57834029</w:t>
      </w:r>
      <w:r>
        <w:rPr>
          <w:rFonts w:ascii="仿宋_GB2312" w:eastAsia="仿宋_GB2312" w:cs="仿宋_GB2312"/>
          <w:b w:val="0"/>
          <w:bCs w:val="0"/>
          <w:snapToGrid/>
          <w:kern w:val="2"/>
          <w:sz w:val="32"/>
          <w:szCs w:val="32"/>
          <w:lang w:val="en-US" w:eastAsia="zh-CN" w:bidi="ar-SA"/>
        </w:rPr>
        <w:t>，地址：</w:t>
      </w:r>
      <w:r>
        <w:rPr>
          <w:rFonts w:ascii="仿宋_GB2312" w:eastAsia="仿宋_GB2312" w:cs="仿宋_GB2312" w:hint="eastAsia"/>
          <w:b w:val="0"/>
          <w:bCs w:val="0"/>
          <w:snapToGrid/>
          <w:kern w:val="2"/>
          <w:sz w:val="32"/>
          <w:szCs w:val="32"/>
          <w:lang w:val="en-US" w:eastAsia="zh-CN" w:bidi="ar-SA"/>
        </w:rPr>
        <w:t>湖南省湘潭市雨湖区姜畲村深塘组</w:t>
      </w:r>
      <w:r>
        <w:rPr>
          <w:rFonts w:ascii="仿宋_GB2312" w:eastAsia="仿宋_GB2312" w:cs="仿宋_GB2312"/>
          <w:b w:val="0"/>
          <w:bCs w:val="0"/>
          <w:snapToGrid/>
          <w:kern w:val="2"/>
          <w:sz w:val="32"/>
          <w:szCs w:val="32"/>
          <w:lang w:val="en-US" w:eastAsia="zh-CN" w:bidi="ar-SA"/>
        </w:rPr>
        <w:t>，邮政编码：</w:t>
      </w:r>
      <w:r>
        <w:rPr>
          <w:rFonts w:ascii="仿宋_GB2312" w:eastAsia="仿宋_GB2312" w:cs="仿宋_GB2312" w:hint="eastAsia"/>
          <w:b w:val="0"/>
          <w:bCs w:val="0"/>
          <w:snapToGrid/>
          <w:kern w:val="2"/>
          <w:sz w:val="32"/>
          <w:szCs w:val="32"/>
          <w:lang w:val="en-US" w:eastAsia="zh-CN" w:bidi="ar-SA"/>
        </w:rPr>
        <w:t>411100</w:t>
      </w:r>
      <w:r>
        <w:rPr>
          <w:rFonts w:ascii="仿宋_GB2312" w:eastAsia="仿宋_GB2312" w:cs="仿宋_GB2312"/>
          <w:b w:val="0"/>
          <w:bCs w:val="0"/>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cs="仿宋_GB2312"/>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cs="仿宋_GB2312"/>
          <w:b w:val="0"/>
          <w:bCs w:val="0"/>
          <w:snapToGrid/>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40" w:lineRule="exact"/>
        <w:ind w:firstLineChars="200" w:firstLine="640"/>
        <w:jc w:val="right"/>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 xml:space="preserve">中国共产党湘潭市雨湖区姜畲镇委员会  </w:t>
      </w:r>
    </w:p>
    <w:p>
      <w:pPr>
        <w:keepNext w:val="0"/>
        <w:keepLines w:val="0"/>
        <w:pageBreakBefore w:val="0"/>
        <w:widowControl w:val="0"/>
        <w:kinsoku/>
        <w:wordWrap w:val="0"/>
        <w:overflowPunct/>
        <w:topLinePunct w:val="0"/>
        <w:autoSpaceDE/>
        <w:autoSpaceDN/>
        <w:bidi w:val="0"/>
        <w:adjustRightInd/>
        <w:snapToGrid/>
        <w:spacing w:line="540" w:lineRule="exact"/>
        <w:ind w:firstLineChars="200" w:firstLine="640"/>
        <w:jc w:val="right"/>
        <w:textAlignment w:val="auto"/>
        <w:rPr>
          <w:rFonts w:ascii="仿宋_GB2312" w:eastAsia="仿宋_GB2312" w:cs="仿宋_GB2312"/>
          <w:b w:val="0"/>
          <w:bCs w:val="0"/>
          <w:snapToGrid/>
          <w:kern w:val="2"/>
          <w:sz w:val="32"/>
          <w:szCs w:val="32"/>
          <w:lang w:val="en-US" w:eastAsia="zh-CN" w:bidi="ar-SA"/>
        </w:rPr>
      </w:pPr>
      <w:r>
        <w:rPr>
          <w:rFonts w:ascii="仿宋_GB2312" w:eastAsia="仿宋_GB2312" w:cs="仿宋_GB2312" w:hint="eastAsia"/>
          <w:b w:val="0"/>
          <w:bCs w:val="0"/>
          <w:snapToGrid/>
          <w:kern w:val="2"/>
          <w:sz w:val="32"/>
          <w:szCs w:val="32"/>
          <w:lang w:val="en-US" w:eastAsia="zh-CN" w:bidi="ar-SA"/>
        </w:rPr>
        <w:t xml:space="preserve">2025年4月7日        </w:t>
      </w:r>
    </w:p>
    <w:sectPr>
      <w:footerReference w:type="default" r:id="rId2"/>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CESI黑体-GB2312">
    <w:altName w:val="黑体"/>
    <w:panose1 w:val="02000500000000000000"/>
    <w:charset w:val="86"/>
    <w:family w:val="auto"/>
    <w:pitch w:val="variable"/>
    <w:sig w:usb0="00000000" w:usb1="00000000" w:usb2="00000012" w:usb3="00000000" w:csb0="0004000F" w:csb1="00000000"/>
  </w:font>
  <w:font w:name="楷体_GB2312">
    <w:panose1 w:val="02010609030101010101"/>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方正楷体_GB2312">
    <w:altName w:val="永中宋体"/>
    <w:panose1 w:val="02000000000000000000"/>
    <w:charset w:val="86"/>
    <w:family w:val="auto"/>
    <w:pitch w:val="variable"/>
    <w:sig w:usb0="A00002BF" w:usb1="184F6CFA" w:usb2="00000012" w:usb3="00000000" w:csb0="00040001" w:csb1="00000000"/>
  </w:font>
  <w:font w:name="Times New Roman">
    <w:altName w:val="DejaVu Sans"/>
    <w:panose1 w:val="02020603050405020304"/>
    <w:charset w:val="01"/>
    <w:family w:val="auto"/>
    <w:pitch w:val="variable"/>
    <w:sig w:usb0="E0002EFF" w:usb1="C000785B" w:usb2="00000009" w:usb3="00000000" w:csb0="400001FF" w:csb1="FFFF0000"/>
  </w:font>
  <w:font w:name="Calibri">
    <w:altName w:val="DejaVu Sans"/>
    <w:panose1 w:val="020F0502020204030204"/>
    <w:charset w:val="00"/>
    <w:family w:val="swiss"/>
    <w:pitch w:val="variable"/>
    <w:sig w:usb0="E4002EFF" w:usb1="C000247B" w:usb2="00000009" w:usb3="00000000" w:csb0="200001FF"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Arial Unicode MS">
    <w:altName w:val="永中宋体"/>
    <w:panose1 w:val="020B0604020202020204"/>
    <w:charset w:val="86"/>
    <w:family w:val="auto"/>
    <w:pitch w:val="variable"/>
    <w:sig w:usb0="FFFFFFFF" w:usb1="E9FFFFFF" w:usb2="0000003F" w:usb3="00000000" w:csb0="603F01FF" w:csb1="FFFF0000"/>
  </w:font>
  <w:font w:name="方正楷体_GBK">
    <w:altName w:val="Arial Unicode MS"/>
    <w:panose1 w:val="02000000000000000000"/>
    <w:charset w:val="86"/>
    <w:family w:val="auto"/>
    <w:pitch w:val="variable"/>
    <w:sig w:usb0="00000000" w:usb1="00000000" w:usb2="00000016"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rPr>
        <w:rFonts w:ascii="宋体" w:eastAsia="宋体" w:cs="宋体" w:hint="eastAsia"/>
        <w:sz w:val="30"/>
        <w:szCs w:val="30"/>
      </w:rPr>
    </w:pPr>
    <w:r>
      <w:rPr>
        <w:rFonts w:hint="eastAsia"/>
        <w:lang w:eastAsia="zh-CN"/>
      </w:rPr>
      <w:tab/>
    </w:r>
  </w:p>
  <w:p>
    <w:pPr>
      <w:pStyle w:val="16"/>
      <w:tabs>
        <w:tab w:val="clear" w:pos="4153"/>
        <w:tab w:val="right" w:pos="8306"/>
        <w:tab w:val="left" w:pos="11594"/>
      </w:tabs>
      <w:rPr>
        <w:rFonts w:eastAsia="宋体" w:hint="eastAsia"/>
        <w:lang w:eastAsia="zh-CN"/>
      </w:rPr>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666750" cy="246697"/>
              <wp:effectExtent l="0" t="0" r="0" b="0"/>
              <wp:wrapNone/>
              <wp:docPr id="1" name="文本框 5"/>
              <wp:cNvGraphicFramePr>
                <a:graphicFrameLocks noChangeAspect="0"/>
              </wp:cNvGraphicFramePr>
              <a:graphic>
                <a:graphicData uri="http://schemas.microsoft.com/office/word/2010/wordprocessingShape">
                  <wps:wsp>
                    <wps:cNvSpPr/>
                    <wps:spPr>
                      <a:xfrm rot="0">
                        <a:off x="0" y="0"/>
                        <a:ext cx="666750" cy="246697"/>
                      </a:xfrm>
                      <a:prstGeom prst="rect"/>
                      <a:noFill/>
                      <a:ln w="6350" cmpd="sng" cap="flat">
                        <a:noFill/>
                        <a:prstDash val="solid"/>
                        <a:round/>
                      </a:ln>
                    </wps:spPr>
                    <wps:txbx id="2">
                      <w:txbxContent>
                        <w:p>
                          <w:pPr>
                            <w:pStyle w:val="16"/>
                            <w:tabs>
                              <w:tab w:val="clear" w:pos="4153"/>
                              <w:tab w:val="right" w:pos="8306"/>
                              <w:tab w:val="left" w:pos="11594"/>
                            </w:tabs>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24</w:t>
                          </w:r>
                          <w:r>
                            <w:rPr>
                              <w:rFonts w:ascii="宋体" w:eastAsia="宋体" w:cs="宋体" w:hint="eastAsia"/>
                              <w:sz w:val="30"/>
                              <w:szCs w:val="30"/>
                            </w:rPr>
                            <w:fldChar w:fldCharType="end"/>
                          </w:r>
                          <w:r>
                            <w:rPr>
                              <w:rFonts w:ascii="宋体" w:eastAsia="宋体" w:cs="宋体" w:hint="eastAsia"/>
                              <w:sz w:val="30"/>
                              <w:szCs w:val="30"/>
                            </w:rPr>
                            <w:t xml:space="preserve"> —</w:t>
                          </w:r>
                        </w:p>
                      </w:txbxContent>
                    </wps:txbx>
                    <wps:bodyPr vert="horz" wrap="none" lIns="0" tIns="0" rIns="0" bIns="0" anchor="t" anchorCtr="0" upright="0">
                      <a:spAutoFit/>
                    </wps:bodyPr>
                  </wps:wsp>
                </a:graphicData>
              </a:graphic>
            </wp:anchor>
          </w:drawing>
        </mc:Choice>
        <mc:Fallback>
          <w:pict>
            <v:shape type="#_x0000_t202" id="文本框 5 3" o:spid="_x0000_s3" filled="f" stroked="f" strokeweight="0.5pt" style="position:absolute;margin-left:0.0pt;margin-top:0.0pt;width:52.5pt;height:19.424997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lear" w:pos="4153"/>
                        <w:tab w:val="right" w:pos="8306"/>
                        <w:tab w:val="left" w:pos="11594"/>
                      </w:tabs>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24</w:t>
                    </w:r>
                    <w:r>
                      <w:rPr>
                        <w:rFonts w:ascii="宋体" w:eastAsia="宋体" w:cs="宋体" w:hint="eastAsia"/>
                        <w:sz w:val="30"/>
                        <w:szCs w:val="30"/>
                      </w:rPr>
                      <w:fldChar w:fldCharType="end"/>
                    </w:r>
                    <w:r>
                      <w:rPr>
                        <w:rFonts w:ascii="宋体" w:eastAsia="宋体" w:cs="宋体" w:hint="eastAsia"/>
                        <w:sz w:val="30"/>
                        <w:szCs w:val="30"/>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6"/>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Dk1MDYyMDFlNDY2Mjg4ZjBmYmQ3YzVhYjA5YTY0Z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Indent"/>
    <w:basedOn w:val="0"/>
    <w:pPr>
      <w:spacing w:after="120"/>
      <w:ind w:leftChars="200" w:left="20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paragraph" w:styleId="19">
    <w:name w:val="Body Text First Indent 2"/>
    <w:basedOn w:val="15"/>
    <w:pPr>
      <w:spacing w:before="100" w:beforeAutospacing="1"/>
      <w:ind w:firstLineChars="200" w:firstLine="200"/>
    </w:pPr>
  </w:style>
  <w:style w:type="character" w:customStyle="1" w:styleId="20">
    <w:name w:val="21"/>
    <w:rPr>
      <w:rFonts w:ascii="宋体" w:eastAsia="宋体"/>
      <w:b/>
      <w:bCs/>
      <w:color w:val="auto"/>
      <w:sz w:val="20"/>
      <w:szCs w:val="20"/>
    </w:rPr>
  </w:style>
  <w:style w:type="character" w:customStyle="1" w:styleId="21">
    <w:name w:val="20"/>
    <w:rPr>
      <w:rFonts w:ascii="Arial Unicode MS" w:eastAsia="Arial Unicode MS" w:hAnsi="Arial Unicode MS"/>
      <w:color w:val="auto"/>
      <w:sz w:val="40"/>
      <w:szCs w:val="40"/>
    </w:rPr>
  </w:style>
  <w:style w:type="character" w:customStyle="1" w:styleId="22">
    <w:name w:val="18"/>
    <w:rPr>
      <w:rFonts w:ascii="宋体" w:eastAsia="宋体"/>
      <w:color w:val="auto"/>
      <w:sz w:val="24"/>
      <w:szCs w:val="24"/>
    </w:rPr>
  </w:style>
  <w:style w:type="character" w:customStyle="1" w:styleId="23">
    <w:name w:val="22"/>
    <w:rPr>
      <w:rFonts w:ascii="方正楷体_GBK" w:eastAsia="方正楷体_GBK"/>
      <w:color w:val="auto"/>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198</TotalTime>
  <Application>Yozo_Office27021597764231179</Application>
  <Pages>8</Pages>
  <Words>3750</Words>
  <Characters>3843</Characters>
  <Lines>181</Lines>
  <Paragraphs>78</Paragraphs>
  <CharactersWithSpaces>3854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cp:lastPrinted>2025-04-16T00:03:06Z</cp:lastPrinted>
  <dcterms:created xsi:type="dcterms:W3CDTF">2025-03-28T01:54:00Z</dcterms:created>
  <dcterms:modified xsi:type="dcterms:W3CDTF">2025-04-16T00:43:35Z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9A3AC41A4427463CA77E428EB63E04EB_13</vt:lpwstr>
  </property>
  <property fmtid="{D5CDD505-2E9C-101B-9397-08002B2CF9AE}" pid="4" name="KSOTemplateDocerSaveRecord">
    <vt:lpwstr>eyJoZGlkIjoiMTA3ZjYzNjU1MTVlNzBkNWE0YjdhYTFhYTg0ODU2NDgiLCJ1c2VySWQiOiIxMTQ2NDk4MTI1In0=</vt:lpwstr>
  </property>
</Properties>
</file>